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DC" w:rsidRDefault="00BD38DC" w:rsidP="00BD38D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D38DC" w:rsidRDefault="00BD38DC" w:rsidP="00BD38D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E2485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 w:rsidR="00BD38DC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37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 в романе.</w:t>
            </w:r>
          </w:p>
        </w:tc>
      </w:tr>
      <w:tr w:rsidR="00BD38DC" w:rsidTr="00BD38D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BD38DC" w:rsidRDefault="00BD38D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 w:rsidP="00C96DF2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BD38DC" w:rsidRDefault="003762BA" w:rsidP="00C96DF2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Примеры психологического параллелизма в романе</w:t>
            </w:r>
            <w:r w:rsidR="00BD38DC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BD38DC" w:rsidRDefault="00BD38D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BD38DC" w:rsidRPr="00E24854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BD38DC" w:rsidRDefault="00BD38DC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BD38DC" w:rsidRDefault="00BD38DC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38DC" w:rsidRDefault="00BD38DC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BD38DC" w:rsidRDefault="00BD38DC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D38DC" w:rsidTr="00BD38D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BD38DC" w:rsidRDefault="00BD38DC" w:rsidP="00BD38DC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3762BA">
        <w:rPr>
          <w:rFonts w:eastAsia="Times New Roman"/>
          <w:sz w:val="24"/>
          <w:szCs w:val="24"/>
        </w:rPr>
        <w:t xml:space="preserve"> 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BD38DC" w:rsidRDefault="00BD38DC" w:rsidP="00BD38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BD38DC" w:rsidRDefault="00BD38DC" w:rsidP="00BD38DC">
      <w:pPr>
        <w:spacing w:line="6" w:lineRule="exact"/>
        <w:rPr>
          <w:sz w:val="20"/>
          <w:szCs w:val="20"/>
        </w:rPr>
      </w:pPr>
    </w:p>
    <w:p w:rsidR="00BD38DC" w:rsidRDefault="003762BA" w:rsidP="00BD38DC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12.20.</w:t>
      </w:r>
      <w:proofErr w:type="gramEnd"/>
      <w:r>
        <w:rPr>
          <w:rFonts w:eastAsia="Times New Roman"/>
          <w:sz w:val="24"/>
          <w:szCs w:val="24"/>
        </w:rPr>
        <w:t xml:space="preserve"> до  12.5</w:t>
      </w:r>
      <w:r w:rsidR="00BD38DC">
        <w:rPr>
          <w:rFonts w:eastAsia="Times New Roman"/>
          <w:sz w:val="24"/>
          <w:szCs w:val="24"/>
        </w:rPr>
        <w:t>0. (</w:t>
      </w:r>
      <w:r w:rsidR="00BD38DC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D38DC">
        <w:rPr>
          <w:rFonts w:eastAsia="Times New Roman"/>
          <w:sz w:val="24"/>
          <w:szCs w:val="24"/>
        </w:rPr>
        <w:t xml:space="preserve">), </w:t>
      </w:r>
    </w:p>
    <w:p w:rsidR="00BD38DC" w:rsidRDefault="00BD38DC" w:rsidP="00BD38DC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D38DC" w:rsidRDefault="00BD38DC" w:rsidP="00BD38DC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D38DC" w:rsidRDefault="00BD38DC" w:rsidP="00BD38DC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D38DC" w:rsidRDefault="00BD38DC" w:rsidP="00BD38DC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BD38DC" w:rsidRDefault="00BD38DC" w:rsidP="00BD38DC">
      <w:pPr>
        <w:spacing w:line="12" w:lineRule="exact"/>
        <w:rPr>
          <w:sz w:val="24"/>
          <w:szCs w:val="24"/>
        </w:rPr>
      </w:pPr>
    </w:p>
    <w:p w:rsidR="00BD38DC" w:rsidRDefault="00BD38DC" w:rsidP="00BD38DC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D38DC" w:rsidRDefault="00BD38DC" w:rsidP="00BD3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КАРТИНЫ   ПРИРОДЫ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 РОМАНЕ</w:t>
      </w:r>
      <w:proofErr w:type="gramEnd"/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связаны с содержанием романа описанные в нём картины природы?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Откликаются ли на красоту окружающего мира главные герои? (т.1, ч.1, гл.2-4, 9)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каких пейзажных параллелей подчёркивается обаяние героев? Примеры психологического параллелизма (</w:t>
      </w:r>
      <w:proofErr w:type="gramStart"/>
      <w:r>
        <w:rPr>
          <w:sz w:val="28"/>
          <w:szCs w:val="28"/>
        </w:rPr>
        <w:t>т.1,ч.</w:t>
      </w:r>
      <w:proofErr w:type="gramEnd"/>
      <w:r>
        <w:rPr>
          <w:sz w:val="28"/>
          <w:szCs w:val="28"/>
        </w:rPr>
        <w:t>2,гл.13; т.4,ч.7,гл.1; ч.8, гл.18)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описание природы подчёркивает внутреннее состояние героев? (</w:t>
      </w:r>
      <w:proofErr w:type="gramStart"/>
      <w:r>
        <w:rPr>
          <w:sz w:val="28"/>
          <w:szCs w:val="28"/>
        </w:rPr>
        <w:t>т.1,ч.</w:t>
      </w:r>
      <w:proofErr w:type="gramEnd"/>
      <w:r>
        <w:rPr>
          <w:sz w:val="28"/>
          <w:szCs w:val="28"/>
        </w:rPr>
        <w:t>2,гл.5)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явления в природе и происшествия в казачьей среде говорят о надвигающихся грозных событиях? (т.1, ч.3, гл.1,3)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Природа на войне. (</w:t>
      </w:r>
      <w:proofErr w:type="gramStart"/>
      <w:r>
        <w:rPr>
          <w:sz w:val="28"/>
          <w:szCs w:val="28"/>
        </w:rPr>
        <w:t>т.2,ч.</w:t>
      </w:r>
      <w:proofErr w:type="gramEnd"/>
      <w:r>
        <w:rPr>
          <w:sz w:val="28"/>
          <w:szCs w:val="28"/>
        </w:rPr>
        <w:t>4,гл.8)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эпизод изображения снежного заноса, раскрывающего состояние Аксиньи после встречи с Григорием. (т.3, ч.6, гл.1) Какова атмосфера данного пейзажа, какими языковыми средствами она создаётся?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эпизод описания потаённой жизни степи, ожидающей прихода весны. (</w:t>
      </w:r>
      <w:proofErr w:type="gramStart"/>
      <w:r>
        <w:rPr>
          <w:sz w:val="28"/>
          <w:szCs w:val="28"/>
        </w:rPr>
        <w:t>т.3,ч.</w:t>
      </w:r>
      <w:proofErr w:type="gramEnd"/>
      <w:r>
        <w:rPr>
          <w:sz w:val="28"/>
          <w:szCs w:val="28"/>
        </w:rPr>
        <w:t>6,гл.19) Каково общее настроение фрагмента? Как передано состояние «мёртвой» зимней степи? Какие краски использует автор, как передано скрытое от глаз движение? Какой художественный принцип использован при написании пейзажа?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Сопоставьте описание природы в 1-й и 3-й частях романа: в чём они отличны, чем это обусловлено?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10)Каким временем года заканчивается роман? Какое это имеет значение для общей композиции? (</w:t>
      </w:r>
      <w:proofErr w:type="gramStart"/>
      <w:r>
        <w:rPr>
          <w:sz w:val="28"/>
          <w:szCs w:val="28"/>
        </w:rPr>
        <w:t>т.4,ч.</w:t>
      </w:r>
      <w:proofErr w:type="gramEnd"/>
      <w:r>
        <w:rPr>
          <w:sz w:val="28"/>
          <w:szCs w:val="28"/>
        </w:rPr>
        <w:t>8,гл.18)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A6601E" w:rsidRDefault="00A6601E"/>
    <w:sectPr w:rsidR="00A6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57C9E"/>
    <w:multiLevelType w:val="hybridMultilevel"/>
    <w:tmpl w:val="8BE8B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DD"/>
    <w:rsid w:val="001879DD"/>
    <w:rsid w:val="003762BA"/>
    <w:rsid w:val="00A6601E"/>
    <w:rsid w:val="00BD38DC"/>
    <w:rsid w:val="00E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662D"/>
  <w15:chartTrackingRefBased/>
  <w15:docId w15:val="{CF0A02CF-A528-41D7-B3FE-501C6E9E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8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38DC"/>
    <w:pPr>
      <w:ind w:left="720"/>
      <w:contextualSpacing/>
    </w:pPr>
  </w:style>
  <w:style w:type="table" w:styleId="a6">
    <w:name w:val="Table Grid"/>
    <w:basedOn w:val="a1"/>
    <w:uiPriority w:val="59"/>
    <w:rsid w:val="00BD38D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2020-05-15T10:07:00Z</dcterms:created>
  <dcterms:modified xsi:type="dcterms:W3CDTF">2020-05-15T10:25:00Z</dcterms:modified>
</cp:coreProperties>
</file>