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717" w:rsidRPr="00AA5AA5" w:rsidRDefault="007D2717" w:rsidP="007D2717">
      <w:pPr>
        <w:jc w:val="center"/>
        <w:rPr>
          <w:rFonts w:ascii="Times New Roman" w:hAnsi="Times New Roman" w:cs="Times New Roman"/>
          <w:sz w:val="21"/>
          <w:szCs w:val="21"/>
        </w:rPr>
      </w:pPr>
      <w:r w:rsidRPr="00AA5AA5">
        <w:rPr>
          <w:rFonts w:ascii="Times New Roman" w:hAnsi="Times New Roman" w:cs="Times New Roman"/>
          <w:sz w:val="21"/>
          <w:szCs w:val="21"/>
        </w:rPr>
        <w:t>13.04</w:t>
      </w:r>
    </w:p>
    <w:p w:rsidR="007D2717" w:rsidRDefault="007D2717" w:rsidP="007D2717">
      <w:pPr>
        <w:jc w:val="center"/>
        <w:rPr>
          <w:rFonts w:ascii="Times New Roman" w:hAnsi="Times New Roman" w:cs="Times New Roman"/>
          <w:sz w:val="21"/>
          <w:szCs w:val="21"/>
        </w:rPr>
      </w:pPr>
      <w:r w:rsidRPr="00AA5AA5">
        <w:rPr>
          <w:rFonts w:ascii="Times New Roman" w:hAnsi="Times New Roman" w:cs="Times New Roman"/>
          <w:sz w:val="21"/>
          <w:szCs w:val="21"/>
        </w:rPr>
        <w:t>Литература в период катастроф.</w:t>
      </w:r>
    </w:p>
    <w:p w:rsidR="007D2717" w:rsidRDefault="007D2717" w:rsidP="007D2717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7D2717" w:rsidRPr="00AA5AA5" w:rsidRDefault="007D2717" w:rsidP="007D2717">
      <w:pPr>
        <w:jc w:val="center"/>
        <w:rPr>
          <w:rFonts w:ascii="Times New Roman" w:hAnsi="Times New Roman" w:cs="Times New Roman"/>
          <w:sz w:val="21"/>
          <w:szCs w:val="21"/>
        </w:rPr>
      </w:pPr>
    </w:p>
    <w:p w:rsidR="007D2717" w:rsidRPr="00AA5AA5" w:rsidRDefault="007D2717" w:rsidP="007D2717">
      <w:p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A5AA5">
        <w:rPr>
          <w:rFonts w:ascii="Times New Roman" w:hAnsi="Times New Roman" w:cs="Times New Roman"/>
          <w:sz w:val="21"/>
          <w:szCs w:val="21"/>
        </w:rPr>
        <w:t xml:space="preserve">Классная работа: конспект данной лекции </w:t>
      </w:r>
      <w:hyperlink r:id="rId4" w:history="1">
        <w:r w:rsidRPr="00AA5AA5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https://diletant.media/articles/45277863/</w:t>
        </w:r>
      </w:hyperlink>
    </w:p>
    <w:p w:rsidR="007D2717" w:rsidRPr="00AA5AA5" w:rsidRDefault="007D2717" w:rsidP="007D27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Конец XIX века ознаменовался радикальными переменами в сознании людей. Биологическая теория Чарльза Дарвина и философские труды </w:t>
      </w:r>
      <w:hyperlink r:id="rId5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Фридриха Ницше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поставили под сомнение существование бога. Выставка </w:t>
      </w:r>
      <w:hyperlink r:id="rId6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импрессионистов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во Франции в 1874 году перевернула представления масс о том, как должно выглядеть искусство. Научный прогресс также изменил окружающую людей реальность.</w:t>
      </w:r>
    </w:p>
    <w:p w:rsidR="007D2717" w:rsidRPr="00AA5AA5" w:rsidRDefault="007D2717" w:rsidP="007D27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Стало очевидно, что литература, которая всегда откликалась на происходящие в мире явления, примет другую форму и уже никогда не будет прежней. Так и произошло.</w:t>
      </w:r>
    </w:p>
    <w:p w:rsidR="007D2717" w:rsidRPr="00AA5AA5" w:rsidRDefault="007D2717" w:rsidP="007D27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 Российской империи период литературных экспериментов, начавшихся в конце XIX столетия, называют Серебряным веком. Эта эпоха ознаменовалась уходом от старых традиций. Само название Серебряный век противопоставляется классическому Золотому веку. Серебряный век отличается от Золотого настроениями упадничества и мистикой в текстах писателей, декадансом, делением на поэтические группы.</w:t>
      </w:r>
    </w:p>
    <w:p w:rsidR="007D2717" w:rsidRPr="00AA5AA5" w:rsidRDefault="007D2717" w:rsidP="007D27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 том, когда же в России начался Серебряный век, литературоведы спорят до сих пор. Одни считают, что статья Дмитрия Мережковского «О причинах упадка и о новых течениях современной русской литературы», написанная в 1892 году, послужила началом для зарождения символизма в России. Другие уверяют, что брошюры </w:t>
      </w:r>
      <w:hyperlink r:id="rId7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Валерия Брюсова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других московских поэтов под названием «Русские символисты» — первый реальный опыт написания стихотворений в новом литературном стиле. Обе версии имеют основания, однако ясно одно: представители поэтических течений конца XIX столетия хотели отойти от традиционных творческих методов создания художественных произведений.</w:t>
      </w:r>
    </w:p>
    <w:p w:rsidR="007D2717" w:rsidRPr="00AA5AA5" w:rsidRDefault="007D2717" w:rsidP="007D2717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INCLUDEPICTURE "https://diletant.media/upload/medialibrary/762/762daed4ce43e830563e7ab1c1042034.webp" \* MERGEFORMATINET </w:instrText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AA5AA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7267EDA" wp14:editId="1ADD6B2E">
            <wp:extent cx="1746296" cy="1862666"/>
            <wp:effectExtent l="0" t="0" r="0" b="4445"/>
            <wp:docPr id="5" name="Рисунок 5" descr="Мережковски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режковский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920" cy="187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7D2717" w:rsidRPr="00AA5AA5" w:rsidRDefault="007D2717" w:rsidP="007D2717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Мережковский. </w:t>
      </w:r>
      <w:r w:rsidRPr="00AA5AA5">
        <w:rPr>
          <w:rFonts w:ascii="Times New Roman" w:eastAsia="Times New Roman" w:hAnsi="Times New Roman" w:cs="Times New Roman"/>
          <w:i/>
          <w:iCs/>
          <w:color w:val="8C8C8C"/>
          <w:sz w:val="20"/>
          <w:szCs w:val="20"/>
          <w:lang w:eastAsia="ru-RU"/>
        </w:rPr>
        <w:t>Источник: zen.yandex.com</w:t>
      </w:r>
    </w:p>
    <w:p w:rsidR="007D2717" w:rsidRPr="00AA5AA5" w:rsidRDefault="007D2717" w:rsidP="007D2717">
      <w:pPr>
        <w:spacing w:before="100" w:beforeAutospacing="1" w:after="100" w:afterAutospacing="1"/>
        <w:ind w:left="-426" w:firstLine="7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Также русский Серебряный век стал реакцией на происходившие в стране потрясения XX столетия: поражение в </w:t>
      </w:r>
      <w:hyperlink r:id="rId9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Русско-японской войне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0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Первая русская революция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вызванная </w:t>
      </w:r>
      <w:hyperlink r:id="rId11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Кровавым воскресеньем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12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Первая мировая война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два переворота 1917 года и Гражданская война. Все эти события нашли отражение в минорном звучании стихотворений большинства поэтов того периода.</w:t>
      </w:r>
    </w:p>
    <w:p w:rsidR="007D2717" w:rsidRPr="00AA5AA5" w:rsidRDefault="007D2717" w:rsidP="007D27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Когда началась Первая мировая, поэт </w:t>
      </w:r>
      <w:hyperlink r:id="rId13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Александр Блок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написал строки, отразившие трагедию всего поколения Серебряного века:</w:t>
      </w:r>
    </w:p>
    <w:p w:rsidR="007D2717" w:rsidRPr="00AA5AA5" w:rsidRDefault="007D2717" w:rsidP="007D27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«Рожденные в года глухие</w:t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Пути не помнят своего.</w:t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Мы — дети страшных лет России —</w:t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Забыть не в силах ничего…»</w:t>
      </w:r>
    </w:p>
    <w:p w:rsidR="007D2717" w:rsidRPr="00AA5AA5" w:rsidRDefault="007D2717" w:rsidP="007D27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Серебряный век стал эпохой формирования поэтических направлений. Определенный стиль собирал вокруг себя поэтов, создававших творческие объединения. У каждого литературного течения были свои особенности и отличия.</w:t>
      </w:r>
    </w:p>
    <w:p w:rsidR="007D2717" w:rsidRPr="00AA5AA5" w:rsidRDefault="007D2717" w:rsidP="007D27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Символизм можно назвать первым направлением художественной литературы русского Серебряного века, зародившимся в 90-ые годы XIX столетия. Поэты-символисты создавали мистические и абстрактные образы в своих текстах. Это связано с активным распространением сект в Российской империи на рубеже столетий; многие творцы вдохновлялись, посещая подобные места. Также символизм можно назвать наиболее декадентским направлением в русской литературе. Настроения упадничества и предчувствия скорой катастрофы наиболее ярко отражены в текстах поэтов-символистов. Как отмечают многие литературоведы, символизм стал вершиной русской поэзии с точки зрения музыкальности звучания произведений. Чёткая композиция, плавный ритм и контрастные цвета — вот залог той самой музыкальности </w:t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стихотворений, которую выделяют филологи. В 1910-ые годы из-за творческого застоя происходит кризис символизма, появляются новые поэтические течения, становящиеся популярными. Однако основные поэты-символисты продолжали развиваться в рамках родного для себя стиля.</w:t>
      </w:r>
    </w:p>
    <w:p w:rsidR="007D2717" w:rsidRPr="00AA5AA5" w:rsidRDefault="007D2717" w:rsidP="007D27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Философ, литературный критик и писатель Дмитрий Мережковский оказал большое влияние на развитие символизма в России. Многие филологи считают именно его отцом русского символизма. Окончив историко-филологический факультет Петербургского университета, Мережковский написал несколько художественных произведений, основанных на исторических событиях. Трилогии «Царство зверя» («Павел l», «Александр l» и «14 декабря») и «Христос и Антихрист» («Смерть богов. Юлиан Отступник», «Воскресшие боги. Леонардо да Винчи» и «Антихрист. Петр и Алексей») — это примеры произведений, относящихся к открытому Мережковским историко-философскому литературному жанру. В этих книгах автор сочетает реальные события с религиозными мыслями, присущими поэтам Серебряного века. Не приняв Октябрьский переворот, Мережковский уехал в Европу. Там писатель смог создать философские биографии </w:t>
      </w:r>
      <w:hyperlink r:id="rId14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Наполеона Бонапарта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15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Данте Алигьери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которые по достоинству оценивают профессиональные историки.</w:t>
      </w:r>
    </w:p>
    <w:p w:rsidR="007D2717" w:rsidRPr="00AA5AA5" w:rsidRDefault="007D2717" w:rsidP="007D27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Валерий Брюсов тоже может претендовать на звание первого в России символиста. Вдохновившись такими французскими символистами, как </w:t>
      </w:r>
      <w:hyperlink r:id="rId16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Верлен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</w:t>
      </w:r>
      <w:hyperlink r:id="rId17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Бодлер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Брюсов решил перенести настроение упадничества в собственные стихи. Поэт выпустил несколько сборников под названием «Русские символисты», куда вошли многие его поэтические произведения, вышедшие под разными псевдонимами. Вдохновившись поэзией Брюсова, многие молодые люди примкнули к направлению символизма.</w:t>
      </w:r>
    </w:p>
    <w:p w:rsidR="007D2717" w:rsidRPr="00AA5AA5" w:rsidRDefault="007D2717" w:rsidP="007D2717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INCLUDEPICTURE "https://diletant.media/upload/medialibrary/bf6/bf635499ec4686b858f6ab3f83af244c.webp" \* MERGEFORMATINET </w:instrText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AA5AA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B659276" wp14:editId="42B08F09">
            <wp:extent cx="1794933" cy="1870770"/>
            <wp:effectExtent l="0" t="0" r="0" b="0"/>
            <wp:docPr id="4" name="Рисунок 4" descr="Брюсо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рюсов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978" cy="187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7D2717" w:rsidRPr="00AA5AA5" w:rsidRDefault="007D2717" w:rsidP="007D2717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Брюсов. </w:t>
      </w:r>
      <w:r w:rsidRPr="00AA5AA5">
        <w:rPr>
          <w:rFonts w:ascii="Times New Roman" w:eastAsia="Times New Roman" w:hAnsi="Times New Roman" w:cs="Times New Roman"/>
          <w:i/>
          <w:iCs/>
          <w:color w:val="8C8C8C"/>
          <w:sz w:val="20"/>
          <w:szCs w:val="20"/>
          <w:lang w:eastAsia="ru-RU"/>
        </w:rPr>
        <w:t>Источник: m.rusmir.media</w:t>
      </w:r>
    </w:p>
    <w:p w:rsidR="007D2717" w:rsidRPr="00AA5AA5" w:rsidRDefault="007D2717" w:rsidP="007D27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Одним из таких молодых людей был Александр Блок, ставший иконой не только символизма, но и всего русского Серебряного века. «Стихи о Прекрасной Даме», «Возмездие», «Снежная маска» — эти и другие сборники Блока можно назвать идеальными примерами поэзии символистов. В них есть и мистика, и подтексты, и музыкальное звучание. Поэма «Двенадцать» считается творческим пиком Блока. Это произведение поэт написал под сильным впечатлением от </w:t>
      </w:r>
      <w:hyperlink r:id="rId19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Октябрьского переворота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воспринятого им с энтузиазмом и опасениями. Однако совсем скоро у Блока начался творческий кризис, из которого у творца уже не получилось выйти до конца жизни. В 1919 году автор «Двенадцати» оставил в своем дневнике запись, определившую его отношение к новой власти: «Чего нельзя отнять у большевиков — это их исключительной способности вытравлять быт и уничтожать отдельных людей».</w:t>
      </w:r>
    </w:p>
    <w:p w:rsidR="007D2717" w:rsidRPr="00AA5AA5" w:rsidRDefault="007D2717" w:rsidP="007D27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Писатели-символисты </w:t>
      </w:r>
      <w:hyperlink r:id="rId20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Андрей Белый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 </w:t>
      </w:r>
      <w:hyperlink r:id="rId21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Л</w:t>
        </w:r>
      </w:hyperlink>
      <w:hyperlink r:id="rId22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еонид Андреев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 Фёдор Сологуб не стали столь же известными массам, как Александр Блок, однако их проза ещё современниками оценивалась высоко.</w:t>
      </w:r>
    </w:p>
    <w:p w:rsidR="007D2717" w:rsidRPr="00AA5AA5" w:rsidRDefault="007D2717" w:rsidP="007D27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Ещё одним направлением Серебряного века стал акмеизм, возникший в 1910-ые годы в противовес символизму. Литературовед Виктор Жирмунский называл акмеистов «преодолевшими символизм».</w:t>
      </w:r>
    </w:p>
    <w:p w:rsidR="007D2717" w:rsidRPr="00AA5AA5" w:rsidRDefault="007D2717" w:rsidP="007D27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3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Николай Гумилёв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основавший акмеизм, вернул в поэзию чёткость образов, отсылки к древним эпохам, простоту языка и любовь к жизни. Гумилёв прожил удивительную жизнь: поэт принимал участие в африканских экспедициях, добровольно отправился на фронт Первой мировой войны, где за успешные боевые и разведывательные действия получил несколько наград, был расстрелян чекистами за подозрения в сговоре против советской власти. Однако в историю Гумилёв вошел в первую очередь как поэт. Почувствовав кризис символизма, Гумилёв основал «Цех поэтов», в который вошли поэты-акмеисты. Также Гумилёв сам выпустил несколько сборников стихотворений, которые начали активно издаваться после перестройки.</w:t>
      </w:r>
    </w:p>
    <w:p w:rsidR="007D2717" w:rsidRPr="00AA5AA5" w:rsidRDefault="007D2717" w:rsidP="007D2717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fldChar w:fldCharType="begin"/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INCLUDEPICTURE "https://diletant.media/upload/medialibrary/9cb/9cb09177a13109643b1e8c6b3d232505.webp" \* MERGEFORMATINET </w:instrText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AA5AA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A6C21C4" wp14:editId="71581958">
            <wp:extent cx="1889639" cy="2590800"/>
            <wp:effectExtent l="0" t="0" r="3175" b="0"/>
            <wp:docPr id="3" name="Рисунок 3" descr="Николай Гумиле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иколай Гумилев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504" cy="26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7D2717" w:rsidRPr="00AA5AA5" w:rsidRDefault="007D2717" w:rsidP="007D2717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Николай Гумилев. </w:t>
      </w:r>
      <w:r w:rsidRPr="00AA5AA5">
        <w:rPr>
          <w:rFonts w:ascii="Times New Roman" w:eastAsia="Times New Roman" w:hAnsi="Times New Roman" w:cs="Times New Roman"/>
          <w:i/>
          <w:iCs/>
          <w:color w:val="8C8C8C"/>
          <w:sz w:val="20"/>
          <w:szCs w:val="20"/>
          <w:lang w:eastAsia="ru-RU"/>
        </w:rPr>
        <w:t>Источник: stihi.ru</w:t>
      </w:r>
    </w:p>
    <w:p w:rsidR="007D2717" w:rsidRPr="00AA5AA5" w:rsidRDefault="007D2717" w:rsidP="007D27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Осип Мандельштам был одним из участников «Цеха поэтов». Молодого </w:t>
      </w:r>
      <w:hyperlink r:id="rId25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Мандельштама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высоко оценивали Блок и Гумилёв. В свои стихи поэт перенёс мотивы Гомера и Овидия. В 1933 году Мандельштам написал смелую эпиграмму, посвященную </w:t>
      </w:r>
      <w:hyperlink r:id="rId26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Сталину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«Мы живём, под собою не чуя страны, / Наши речи за десять шагов не слышны, / Только слышно кремлевского горца — / Душегубца и мужикоборца…», — за эти строки через год поэта арестовали, а в 1938 году Мандельштам скончался в лагере от тифа.</w:t>
      </w:r>
    </w:p>
    <w:p w:rsidR="007D2717" w:rsidRPr="00AA5AA5" w:rsidRDefault="007D2717" w:rsidP="007D2717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begin"/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INCLUDEPICTURE "https://diletant.media/upload/medialibrary/3a9/3a984a12a55cd66e9ca2da3e3fbeeb4d.webp" \* MERGEFORMATINET </w:instrText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AA5AA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BD12733" wp14:editId="01D9AE77">
            <wp:extent cx="1752600" cy="2681484"/>
            <wp:effectExtent l="0" t="0" r="0" b="0"/>
            <wp:docPr id="2" name="Рисунок 2" descr="Футурист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утуристы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809" cy="2724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7D2717" w:rsidRPr="00AA5AA5" w:rsidRDefault="007D2717" w:rsidP="007D2717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Футуристы. </w:t>
      </w:r>
      <w:r w:rsidRPr="00AA5AA5">
        <w:rPr>
          <w:rFonts w:ascii="Times New Roman" w:eastAsia="Times New Roman" w:hAnsi="Times New Roman" w:cs="Times New Roman"/>
          <w:i/>
          <w:iCs/>
          <w:color w:val="8C8C8C"/>
          <w:sz w:val="20"/>
          <w:szCs w:val="20"/>
          <w:lang w:eastAsia="ru-RU"/>
        </w:rPr>
        <w:t>Источник: zen.yandex.com</w:t>
      </w:r>
    </w:p>
    <w:p w:rsidR="007D2717" w:rsidRPr="00AA5AA5" w:rsidRDefault="007D2717" w:rsidP="007D271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Движение авангардистов под названием футуризм привлекло молодых поэтов, вдохновившихся творчеством Маринетти. Основные черты этого стиля заключаются в окончательном уходе от старых литературных традиций, экспериментах с русским языком и формой стихотворений.</w:t>
      </w:r>
    </w:p>
    <w:p w:rsidR="007D2717" w:rsidRPr="00AA5AA5" w:rsidRDefault="007D2717" w:rsidP="007D27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28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Давид Бурлюк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смог одним из первых перенести творческие особенности футуризма в русскую культуру. В 10-ые года XX столетия он создал поэтическую группу «Гилея», которая издала манифест «Пощёчина общественному вкусу». В документе были видны революционные идеи футуристов: «Бросить Пушкина, Достоевского, Толстого и проч. и проч. с Парохода Современности…». Под манифестом подписи оставили Велимир Хлебников, Владимир Маяковский, Алексей Кручёных, сам Бурлюк и другие футуристы.</w:t>
      </w:r>
    </w:p>
    <w:p w:rsidR="007D2717" w:rsidRPr="00AA5AA5" w:rsidRDefault="007D2717" w:rsidP="007D27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Игорь Северянин творил в направлении эгофутуризма. Поэт совмещал эксперименты над формой стиха с гиперболизацией своего «я» в произведениях: «Я, гений Игорь-Северянин, / Своей победой упоён…». Во время выступлений Северянин любил блеснуть своим необычным умением петь строки стихотворений. «А голос у него был концертный — стены дрожали!», — вспоминал о Северянине его знакомый эстонский поэт.</w:t>
      </w:r>
    </w:p>
    <w:p w:rsidR="007D2717" w:rsidRPr="00AA5AA5" w:rsidRDefault="007D2717" w:rsidP="007D2717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fldChar w:fldCharType="begin"/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instrText xml:space="preserve"> INCLUDEPICTURE "https://diletant.media/upload/medialibrary/dc1/dc17f1acc1e3cbde46d471a6e9245b05.webp" \* MERGEFORMATINET </w:instrText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separate"/>
      </w:r>
      <w:r w:rsidRPr="00AA5AA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706C407" wp14:editId="799B0E3E">
            <wp:extent cx="2091267" cy="3127617"/>
            <wp:effectExtent l="0" t="0" r="4445" b="0"/>
            <wp:docPr id="1" name="Рисунок 1" descr="Пастерна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стернак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900" cy="313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fldChar w:fldCharType="end"/>
      </w:r>
    </w:p>
    <w:p w:rsidR="007D2717" w:rsidRPr="00AA5AA5" w:rsidRDefault="007D2717" w:rsidP="007D2717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AA5AA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Пастернак. </w:t>
      </w:r>
      <w:r w:rsidRPr="00AA5AA5">
        <w:rPr>
          <w:rFonts w:ascii="Times New Roman" w:eastAsia="Times New Roman" w:hAnsi="Times New Roman" w:cs="Times New Roman"/>
          <w:i/>
          <w:iCs/>
          <w:color w:val="8C8C8C"/>
          <w:sz w:val="20"/>
          <w:szCs w:val="20"/>
          <w:lang w:eastAsia="ru-RU"/>
        </w:rPr>
        <w:t>Источник: ru.delfi.lt</w:t>
      </w:r>
    </w:p>
    <w:p w:rsidR="007D2717" w:rsidRPr="00AA5AA5" w:rsidRDefault="007D2717" w:rsidP="007D271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30" w:tgtFrame="_blank" w:history="1">
        <w:r w:rsidRPr="00AA5AA5">
          <w:rPr>
            <w:rFonts w:ascii="Times New Roman" w:eastAsia="Times New Roman" w:hAnsi="Times New Roman" w:cs="Times New Roman"/>
            <w:color w:val="AB8C43"/>
            <w:sz w:val="20"/>
            <w:szCs w:val="20"/>
            <w:u w:val="single"/>
            <w:lang w:eastAsia="ru-RU"/>
          </w:rPr>
          <w:t>Борис Пастернак</w:t>
        </w:r>
      </w:hyperlink>
      <w:r w:rsidRPr="00AA5A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стал одним из крупнейших русских поэтов Серебряного века. Творческий путь Пастернака уникален тем, что он смог эволюционировать из футуриста в символиста. От сложных форм Пастернак перешёл к религиозным и философским текстам, где внутренний смысл стал гораздо важнее поэтических конструкций. В 1958 году за лирику и роман «Доктор Живаго» Пастернак получил Нобелевскую премию.</w:t>
      </w:r>
    </w:p>
    <w:p w:rsidR="007D2717" w:rsidRPr="00AA5AA5" w:rsidRDefault="007D2717" w:rsidP="007D271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17" w:rsidRPr="00AA5AA5" w:rsidRDefault="007D2717" w:rsidP="007D271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17" w:rsidRPr="00AA5AA5" w:rsidRDefault="007D2717" w:rsidP="007D271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D2717" w:rsidRPr="00AA5AA5" w:rsidRDefault="007D2717" w:rsidP="007D2717">
      <w:pPr>
        <w:rPr>
          <w:rFonts w:ascii="Times New Roman" w:hAnsi="Times New Roman" w:cs="Times New Roman"/>
          <w:sz w:val="20"/>
          <w:szCs w:val="20"/>
        </w:rPr>
      </w:pPr>
      <w:r w:rsidRPr="00AA5AA5">
        <w:rPr>
          <w:rFonts w:ascii="Times New Roman" w:hAnsi="Times New Roman" w:cs="Times New Roman"/>
          <w:sz w:val="20"/>
          <w:szCs w:val="20"/>
        </w:rPr>
        <w:t>Д/з: Презентация: «Краткий обзор литературы начала 20 века»</w:t>
      </w:r>
    </w:p>
    <w:p w:rsidR="007D2717" w:rsidRPr="00AA5AA5" w:rsidRDefault="007D2717" w:rsidP="007D2717">
      <w:pPr>
        <w:rPr>
          <w:rFonts w:ascii="Times New Roman" w:hAnsi="Times New Roman" w:cs="Times New Roman"/>
          <w:sz w:val="20"/>
          <w:szCs w:val="20"/>
        </w:rPr>
      </w:pPr>
    </w:p>
    <w:p w:rsidR="00EB263B" w:rsidRDefault="007D2717">
      <w:bookmarkStart w:id="0" w:name="_GoBack"/>
      <w:bookmarkEnd w:id="0"/>
    </w:p>
    <w:sectPr w:rsidR="00EB263B" w:rsidSect="00AA5AA5">
      <w:pgSz w:w="11900" w:h="16840"/>
      <w:pgMar w:top="434" w:right="55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17"/>
    <w:rsid w:val="004D770B"/>
    <w:rsid w:val="007A2D8F"/>
    <w:rsid w:val="007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B94850D-9FFF-8640-AD88-B43A3875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iletant.media/articles/36314671/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://diletant.media/articles/45275775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iletant.media/articles/35777217/" TargetMode="External"/><Relationship Id="rId7" Type="http://schemas.openxmlformats.org/officeDocument/2006/relationships/hyperlink" Target="http://diletant.media/articles/27866668/" TargetMode="External"/><Relationship Id="rId12" Type="http://schemas.openxmlformats.org/officeDocument/2006/relationships/hyperlink" Target="http://diletant.media/articles/45270825/" TargetMode="External"/><Relationship Id="rId17" Type="http://schemas.openxmlformats.org/officeDocument/2006/relationships/hyperlink" Target="http://diletant.media/articles/35343819/" TargetMode="External"/><Relationship Id="rId25" Type="http://schemas.openxmlformats.org/officeDocument/2006/relationships/hyperlink" Target="http://diletant.media/articles/2624024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iletant.media/articles/35343819/" TargetMode="External"/><Relationship Id="rId20" Type="http://schemas.openxmlformats.org/officeDocument/2006/relationships/hyperlink" Target="http://diletant.media/articles/31588166/" TargetMode="External"/><Relationship Id="rId29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http://diletant.media/sborniki/45261272/" TargetMode="External"/><Relationship Id="rId11" Type="http://schemas.openxmlformats.org/officeDocument/2006/relationships/hyperlink" Target="http://diletant.media/articles/33312743/" TargetMode="External"/><Relationship Id="rId24" Type="http://schemas.openxmlformats.org/officeDocument/2006/relationships/image" Target="media/image3.jpeg"/><Relationship Id="rId32" Type="http://schemas.openxmlformats.org/officeDocument/2006/relationships/theme" Target="theme/theme1.xml"/><Relationship Id="rId5" Type="http://schemas.openxmlformats.org/officeDocument/2006/relationships/hyperlink" Target="http://diletant.media/articles/37024738/" TargetMode="External"/><Relationship Id="rId15" Type="http://schemas.openxmlformats.org/officeDocument/2006/relationships/hyperlink" Target="http://diletant.media/articles/30846364/" TargetMode="External"/><Relationship Id="rId23" Type="http://schemas.openxmlformats.org/officeDocument/2006/relationships/hyperlink" Target="http://diletant.media/sborniki/45249244/" TargetMode="External"/><Relationship Id="rId28" Type="http://schemas.openxmlformats.org/officeDocument/2006/relationships/hyperlink" Target="http://diletant.media/articles/45276446/" TargetMode="External"/><Relationship Id="rId10" Type="http://schemas.openxmlformats.org/officeDocument/2006/relationships/hyperlink" Target="http://diletant.media/sborniki/45277806/" TargetMode="External"/><Relationship Id="rId19" Type="http://schemas.openxmlformats.org/officeDocument/2006/relationships/hyperlink" Target="http://diletant.media/sborniki/45271701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diletant.media/articles/45277863/" TargetMode="External"/><Relationship Id="rId9" Type="http://schemas.openxmlformats.org/officeDocument/2006/relationships/hyperlink" Target="http://diletant.media/sborniki/45267598/" TargetMode="External"/><Relationship Id="rId14" Type="http://schemas.openxmlformats.org/officeDocument/2006/relationships/hyperlink" Target="http://diletant.media/sborniki/45264575/" TargetMode="External"/><Relationship Id="rId22" Type="http://schemas.openxmlformats.org/officeDocument/2006/relationships/hyperlink" Target="http://diletant.media/articles/35777217/" TargetMode="External"/><Relationship Id="rId27" Type="http://schemas.openxmlformats.org/officeDocument/2006/relationships/image" Target="media/image4.jpeg"/><Relationship Id="rId30" Type="http://schemas.openxmlformats.org/officeDocument/2006/relationships/hyperlink" Target="http://diletant.media/articles/277448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1668</Words>
  <Characters>9513</Characters>
  <Application>Microsoft Office Word</Application>
  <DocSecurity>0</DocSecurity>
  <Lines>79</Lines>
  <Paragraphs>22</Paragraphs>
  <ScaleCrop>false</ScaleCrop>
  <Company/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2020-04-12T07:34:00Z</dcterms:created>
  <dcterms:modified xsi:type="dcterms:W3CDTF">2020-04-12T07:34:00Z</dcterms:modified>
</cp:coreProperties>
</file>